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0AB" w:rsidRDefault="001150AB" w:rsidP="001150AB">
      <w:pPr>
        <w:pStyle w:val="a3"/>
        <w:rPr>
          <w:bCs w:val="0"/>
          <w:szCs w:val="28"/>
        </w:rPr>
      </w:pPr>
      <w:r>
        <w:rPr>
          <w:bCs w:val="0"/>
          <w:szCs w:val="28"/>
        </w:rPr>
        <w:t>Зміст</w:t>
      </w:r>
    </w:p>
    <w:p w:rsidR="001150AB" w:rsidRDefault="001150AB" w:rsidP="001150AB">
      <w:pPr>
        <w:pStyle w:val="a3"/>
        <w:jc w:val="both"/>
        <w:rPr>
          <w:b w:val="0"/>
          <w:bCs w:val="0"/>
          <w:szCs w:val="28"/>
        </w:rPr>
      </w:pPr>
      <w:r>
        <w:rPr>
          <w:b w:val="0"/>
          <w:bCs w:val="0"/>
          <w:szCs w:val="28"/>
        </w:rPr>
        <w:t>Передмова…………………………………………………………………..</w:t>
      </w:r>
    </w:p>
    <w:p w:rsidR="001150AB" w:rsidRDefault="001150AB" w:rsidP="001150AB">
      <w:pPr>
        <w:pStyle w:val="a3"/>
        <w:jc w:val="both"/>
        <w:rPr>
          <w:b w:val="0"/>
          <w:bCs w:val="0"/>
          <w:szCs w:val="28"/>
        </w:rPr>
      </w:pPr>
      <w:r>
        <w:rPr>
          <w:b w:val="0"/>
          <w:bCs w:val="0"/>
          <w:szCs w:val="28"/>
        </w:rPr>
        <w:t>Програма курсу…………………………………………………………….</w:t>
      </w:r>
    </w:p>
    <w:p w:rsidR="001150AB" w:rsidRDefault="001150AB" w:rsidP="001150AB">
      <w:pPr>
        <w:pStyle w:val="a3"/>
        <w:jc w:val="both"/>
        <w:rPr>
          <w:b w:val="0"/>
          <w:bCs w:val="0"/>
          <w:szCs w:val="28"/>
        </w:rPr>
      </w:pPr>
      <w:r>
        <w:rPr>
          <w:b w:val="0"/>
          <w:bCs w:val="0"/>
          <w:szCs w:val="28"/>
        </w:rPr>
        <w:t>Тематика семінарських занять та методичні рекомендації до них……..</w:t>
      </w:r>
    </w:p>
    <w:p w:rsidR="001150AB" w:rsidRDefault="001150AB" w:rsidP="001150AB">
      <w:pPr>
        <w:spacing w:line="360" w:lineRule="auto"/>
        <w:jc w:val="both"/>
        <w:rPr>
          <w:sz w:val="28"/>
          <w:szCs w:val="28"/>
        </w:rPr>
      </w:pPr>
      <w:r>
        <w:rPr>
          <w:b/>
          <w:sz w:val="28"/>
          <w:szCs w:val="28"/>
        </w:rPr>
        <w:t>Тема </w:t>
      </w:r>
      <w:r>
        <w:rPr>
          <w:sz w:val="28"/>
          <w:szCs w:val="28"/>
        </w:rPr>
        <w:t xml:space="preserve"> 1. Сутність гри та її місце у процесі становлення дитини-дошкільника. Зміст і методика сенсорного виховання……………………………</w:t>
      </w:r>
    </w:p>
    <w:p w:rsidR="001150AB" w:rsidRDefault="001150AB" w:rsidP="001150AB">
      <w:pPr>
        <w:shd w:val="clear" w:color="auto" w:fill="FFFFFF"/>
        <w:tabs>
          <w:tab w:val="left" w:pos="360"/>
          <w:tab w:val="left" w:pos="540"/>
          <w:tab w:val="left" w:pos="900"/>
        </w:tabs>
        <w:spacing w:line="360" w:lineRule="auto"/>
        <w:jc w:val="both"/>
        <w:rPr>
          <w:sz w:val="28"/>
          <w:szCs w:val="28"/>
        </w:rPr>
      </w:pPr>
      <w:r>
        <w:rPr>
          <w:b/>
          <w:sz w:val="28"/>
          <w:szCs w:val="28"/>
        </w:rPr>
        <w:t>Тема </w:t>
      </w:r>
      <w:r>
        <w:rPr>
          <w:sz w:val="28"/>
          <w:szCs w:val="28"/>
        </w:rPr>
        <w:t xml:space="preserve"> 2. Наукові теорії та сучасні дослідження гри………………</w:t>
      </w:r>
    </w:p>
    <w:p w:rsidR="001150AB" w:rsidRDefault="001150AB" w:rsidP="001150AB">
      <w:pPr>
        <w:spacing w:line="360" w:lineRule="auto"/>
        <w:jc w:val="both"/>
        <w:rPr>
          <w:color w:val="000000"/>
          <w:sz w:val="28"/>
          <w:szCs w:val="28"/>
        </w:rPr>
      </w:pPr>
      <w:r>
        <w:rPr>
          <w:b/>
          <w:sz w:val="28"/>
          <w:szCs w:val="28"/>
        </w:rPr>
        <w:t>Тема </w:t>
      </w:r>
      <w:r>
        <w:rPr>
          <w:sz w:val="28"/>
          <w:szCs w:val="28"/>
        </w:rPr>
        <w:t xml:space="preserve"> 3. Історія іграшки та її виховна й освітня цінність</w:t>
      </w:r>
      <w:r>
        <w:rPr>
          <w:color w:val="000000"/>
          <w:sz w:val="28"/>
          <w:szCs w:val="28"/>
        </w:rPr>
        <w:t xml:space="preserve"> …………</w:t>
      </w:r>
    </w:p>
    <w:p w:rsidR="001150AB" w:rsidRDefault="001150AB" w:rsidP="001150AB">
      <w:pPr>
        <w:spacing w:line="360" w:lineRule="auto"/>
        <w:jc w:val="both"/>
        <w:rPr>
          <w:color w:val="000000"/>
          <w:sz w:val="28"/>
          <w:szCs w:val="28"/>
        </w:rPr>
      </w:pPr>
      <w:r>
        <w:rPr>
          <w:b/>
          <w:sz w:val="28"/>
          <w:szCs w:val="28"/>
        </w:rPr>
        <w:t>Тема </w:t>
      </w:r>
      <w:r>
        <w:rPr>
          <w:color w:val="000000"/>
          <w:sz w:val="28"/>
          <w:szCs w:val="28"/>
        </w:rPr>
        <w:t xml:space="preserve"> 4. </w:t>
      </w:r>
      <w:r>
        <w:rPr>
          <w:sz w:val="28"/>
          <w:szCs w:val="28"/>
        </w:rPr>
        <w:t>Характеристика предметно-ігрового середовища в різних вікових групах дошкільного закладу</w:t>
      </w:r>
      <w:r>
        <w:rPr>
          <w:color w:val="000000"/>
          <w:sz w:val="28"/>
          <w:szCs w:val="28"/>
        </w:rPr>
        <w:t xml:space="preserve"> ………………………………………   </w:t>
      </w:r>
    </w:p>
    <w:p w:rsidR="001150AB" w:rsidRDefault="001150AB" w:rsidP="001150AB">
      <w:pPr>
        <w:spacing w:line="360" w:lineRule="auto"/>
        <w:jc w:val="both"/>
        <w:rPr>
          <w:sz w:val="28"/>
          <w:szCs w:val="28"/>
        </w:rPr>
      </w:pPr>
      <w:r>
        <w:rPr>
          <w:b/>
          <w:sz w:val="28"/>
          <w:szCs w:val="28"/>
        </w:rPr>
        <w:t>Тема </w:t>
      </w:r>
      <w:r>
        <w:rPr>
          <w:color w:val="000000"/>
          <w:sz w:val="28"/>
          <w:szCs w:val="28"/>
        </w:rPr>
        <w:t xml:space="preserve"> 5. </w:t>
      </w:r>
      <w:r>
        <w:rPr>
          <w:sz w:val="28"/>
          <w:szCs w:val="28"/>
        </w:rPr>
        <w:t>Творчі ігри: їх види та виховне значення………………………</w:t>
      </w:r>
    </w:p>
    <w:p w:rsidR="001150AB" w:rsidRDefault="001150AB" w:rsidP="001150AB">
      <w:pPr>
        <w:tabs>
          <w:tab w:val="left" w:pos="360"/>
        </w:tabs>
        <w:spacing w:line="360" w:lineRule="auto"/>
        <w:jc w:val="both"/>
        <w:rPr>
          <w:sz w:val="28"/>
          <w:szCs w:val="28"/>
        </w:rPr>
      </w:pPr>
      <w:r>
        <w:rPr>
          <w:b/>
          <w:sz w:val="28"/>
          <w:szCs w:val="28"/>
        </w:rPr>
        <w:t>Тема </w:t>
      </w:r>
      <w:r>
        <w:rPr>
          <w:sz w:val="28"/>
          <w:szCs w:val="28"/>
        </w:rPr>
        <w:t xml:space="preserve"> 6. </w:t>
      </w:r>
      <w:r>
        <w:rPr>
          <w:color w:val="000000"/>
          <w:sz w:val="28"/>
          <w:szCs w:val="28"/>
        </w:rPr>
        <w:t>Методика керівництва творчими іграми дітей дошкільного віку…</w:t>
      </w:r>
    </w:p>
    <w:p w:rsidR="001150AB" w:rsidRDefault="001150AB" w:rsidP="001150AB">
      <w:pPr>
        <w:spacing w:line="360" w:lineRule="auto"/>
        <w:jc w:val="both"/>
        <w:rPr>
          <w:color w:val="000000"/>
          <w:sz w:val="28"/>
          <w:szCs w:val="28"/>
        </w:rPr>
      </w:pPr>
      <w:r>
        <w:rPr>
          <w:b/>
          <w:sz w:val="28"/>
          <w:szCs w:val="28"/>
        </w:rPr>
        <w:t>Тема </w:t>
      </w:r>
      <w:r>
        <w:rPr>
          <w:color w:val="000000"/>
          <w:sz w:val="28"/>
          <w:szCs w:val="28"/>
        </w:rPr>
        <w:t xml:space="preserve"> 7. Дидактичні ігри: їх особливості та види……………………………</w:t>
      </w:r>
    </w:p>
    <w:p w:rsidR="001150AB" w:rsidRDefault="001150AB" w:rsidP="001150AB">
      <w:pPr>
        <w:spacing w:line="360" w:lineRule="auto"/>
        <w:jc w:val="both"/>
        <w:rPr>
          <w:sz w:val="28"/>
          <w:szCs w:val="28"/>
        </w:rPr>
      </w:pPr>
      <w:r>
        <w:rPr>
          <w:b/>
          <w:sz w:val="28"/>
          <w:szCs w:val="28"/>
        </w:rPr>
        <w:t>Тема </w:t>
      </w:r>
      <w:r>
        <w:rPr>
          <w:sz w:val="28"/>
          <w:szCs w:val="28"/>
        </w:rPr>
        <w:t xml:space="preserve"> 8. Методика організації та керівництва дидактичними іграми у різних вікових групах дошкільного закладу…………………………………………</w:t>
      </w:r>
    </w:p>
    <w:p w:rsidR="001150AB" w:rsidRDefault="001150AB" w:rsidP="001150AB">
      <w:pPr>
        <w:spacing w:line="360" w:lineRule="auto"/>
        <w:jc w:val="both"/>
        <w:rPr>
          <w:bCs/>
          <w:sz w:val="28"/>
          <w:szCs w:val="28"/>
        </w:rPr>
      </w:pPr>
      <w:r>
        <w:rPr>
          <w:bCs/>
          <w:sz w:val="28"/>
          <w:szCs w:val="28"/>
        </w:rPr>
        <w:t>Завдання для самостійної роботи………………………………………………</w:t>
      </w:r>
    </w:p>
    <w:p w:rsidR="001150AB" w:rsidRDefault="001150AB" w:rsidP="001150AB">
      <w:pPr>
        <w:pStyle w:val="a3"/>
        <w:jc w:val="both"/>
        <w:rPr>
          <w:b w:val="0"/>
          <w:bCs w:val="0"/>
          <w:szCs w:val="28"/>
        </w:rPr>
      </w:pPr>
      <w:r>
        <w:rPr>
          <w:b w:val="0"/>
          <w:bCs w:val="0"/>
          <w:szCs w:val="28"/>
        </w:rPr>
        <w:t>Тематика творчих та дослідницьких завдань…………………………………..</w:t>
      </w:r>
    </w:p>
    <w:p w:rsidR="001150AB" w:rsidRDefault="001150AB" w:rsidP="001150AB">
      <w:pPr>
        <w:spacing w:line="360" w:lineRule="auto"/>
        <w:jc w:val="both"/>
        <w:rPr>
          <w:sz w:val="28"/>
          <w:szCs w:val="28"/>
        </w:rPr>
      </w:pPr>
      <w:r>
        <w:rPr>
          <w:sz w:val="28"/>
          <w:szCs w:val="28"/>
        </w:rPr>
        <w:t>Тематика індивідуальних завдань до курсу …………………………………..</w:t>
      </w:r>
    </w:p>
    <w:p w:rsidR="001150AB" w:rsidRDefault="001150AB" w:rsidP="001150AB">
      <w:pPr>
        <w:pStyle w:val="a3"/>
        <w:jc w:val="both"/>
        <w:rPr>
          <w:b w:val="0"/>
          <w:bCs w:val="0"/>
          <w:szCs w:val="28"/>
        </w:rPr>
      </w:pPr>
      <w:r>
        <w:rPr>
          <w:b w:val="0"/>
          <w:bCs w:val="0"/>
          <w:szCs w:val="28"/>
        </w:rPr>
        <w:t>Питання до заліку……………………………………………………………..</w:t>
      </w:r>
    </w:p>
    <w:p w:rsidR="001150AB" w:rsidRDefault="001150AB" w:rsidP="001150AB">
      <w:pPr>
        <w:tabs>
          <w:tab w:val="left" w:pos="180"/>
          <w:tab w:val="left" w:pos="360"/>
          <w:tab w:val="left" w:pos="540"/>
          <w:tab w:val="left" w:pos="939"/>
        </w:tabs>
        <w:spacing w:line="360" w:lineRule="auto"/>
        <w:jc w:val="both"/>
        <w:rPr>
          <w:bCs/>
          <w:sz w:val="28"/>
          <w:szCs w:val="28"/>
        </w:rPr>
      </w:pPr>
      <w:r>
        <w:rPr>
          <w:bCs/>
          <w:sz w:val="28"/>
          <w:szCs w:val="28"/>
        </w:rPr>
        <w:t>Додатки…………………………………………………………………………..</w:t>
      </w:r>
    </w:p>
    <w:p w:rsidR="001150AB" w:rsidRDefault="001150AB" w:rsidP="001150AB">
      <w:pPr>
        <w:pStyle w:val="a3"/>
        <w:jc w:val="both"/>
        <w:rPr>
          <w:b w:val="0"/>
          <w:bCs w:val="0"/>
          <w:szCs w:val="28"/>
        </w:rPr>
      </w:pPr>
      <w:r>
        <w:rPr>
          <w:b w:val="0"/>
          <w:bCs w:val="0"/>
          <w:szCs w:val="28"/>
        </w:rPr>
        <w:t>Предметний покажчик………………………………………………………….</w:t>
      </w:r>
    </w:p>
    <w:p w:rsidR="001150AB" w:rsidRDefault="001150AB" w:rsidP="001150AB">
      <w:pPr>
        <w:pStyle w:val="a3"/>
        <w:rPr>
          <w:b w:val="0"/>
          <w:bCs w:val="0"/>
          <w:szCs w:val="28"/>
        </w:rPr>
      </w:pPr>
    </w:p>
    <w:p w:rsidR="001150AB" w:rsidRDefault="001150AB" w:rsidP="001150AB">
      <w:pPr>
        <w:pStyle w:val="a3"/>
        <w:rPr>
          <w:b w:val="0"/>
          <w:bCs w:val="0"/>
          <w:szCs w:val="28"/>
        </w:rPr>
      </w:pPr>
    </w:p>
    <w:p w:rsidR="001150AB" w:rsidRDefault="001150AB" w:rsidP="001150AB">
      <w:pPr>
        <w:pStyle w:val="a3"/>
        <w:rPr>
          <w:b w:val="0"/>
          <w:bCs w:val="0"/>
          <w:szCs w:val="28"/>
        </w:rPr>
      </w:pPr>
    </w:p>
    <w:p w:rsidR="001150AB" w:rsidRDefault="001150AB" w:rsidP="001150AB">
      <w:pPr>
        <w:pStyle w:val="a3"/>
        <w:rPr>
          <w:b w:val="0"/>
          <w:bCs w:val="0"/>
          <w:szCs w:val="28"/>
        </w:rPr>
      </w:pPr>
    </w:p>
    <w:p w:rsidR="001150AB" w:rsidRDefault="001150AB" w:rsidP="001150AB">
      <w:pPr>
        <w:pStyle w:val="a3"/>
        <w:rPr>
          <w:b w:val="0"/>
          <w:bCs w:val="0"/>
          <w:szCs w:val="28"/>
        </w:rPr>
      </w:pPr>
    </w:p>
    <w:p w:rsidR="001150AB" w:rsidRDefault="001150AB" w:rsidP="001150AB">
      <w:pPr>
        <w:pStyle w:val="a3"/>
        <w:rPr>
          <w:b w:val="0"/>
          <w:bCs w:val="0"/>
          <w:szCs w:val="28"/>
        </w:rPr>
      </w:pPr>
    </w:p>
    <w:p w:rsidR="001150AB" w:rsidRDefault="001150AB" w:rsidP="001150AB">
      <w:pPr>
        <w:pStyle w:val="a3"/>
        <w:rPr>
          <w:b w:val="0"/>
          <w:bCs w:val="0"/>
          <w:szCs w:val="28"/>
        </w:rPr>
      </w:pPr>
    </w:p>
    <w:p w:rsidR="001150AB" w:rsidRDefault="001150AB" w:rsidP="001150AB">
      <w:pPr>
        <w:pStyle w:val="a3"/>
        <w:rPr>
          <w:b w:val="0"/>
          <w:bCs w:val="0"/>
          <w:szCs w:val="28"/>
        </w:rPr>
      </w:pPr>
    </w:p>
    <w:p w:rsidR="001150AB" w:rsidRDefault="001150AB" w:rsidP="001150AB">
      <w:pPr>
        <w:pStyle w:val="a3"/>
        <w:rPr>
          <w:bCs w:val="0"/>
          <w:szCs w:val="28"/>
        </w:rPr>
      </w:pPr>
      <w:r>
        <w:rPr>
          <w:szCs w:val="28"/>
        </w:rPr>
        <w:br w:type="page"/>
      </w:r>
      <w:r>
        <w:rPr>
          <w:bCs w:val="0"/>
          <w:szCs w:val="28"/>
        </w:rPr>
        <w:lastRenderedPageBreak/>
        <w:t>Передмова</w:t>
      </w:r>
    </w:p>
    <w:p w:rsidR="001150AB" w:rsidRDefault="001150AB" w:rsidP="001150AB">
      <w:pPr>
        <w:widowControl w:val="0"/>
        <w:autoSpaceDE w:val="0"/>
        <w:autoSpaceDN w:val="0"/>
        <w:adjustRightInd w:val="0"/>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Декларація про державний суверенітет України, Концепція української національної школи</w:t>
      </w:r>
      <w:r>
        <w:rPr>
          <w:sz w:val="28"/>
          <w:szCs w:val="28"/>
        </w:rPr>
        <w:t xml:space="preserve">, </w:t>
      </w:r>
      <w:r>
        <w:rPr>
          <w:rFonts w:ascii="Times New Roman CYR" w:hAnsi="Times New Roman CYR" w:cs="Times New Roman CYR"/>
          <w:sz w:val="28"/>
          <w:szCs w:val="28"/>
        </w:rPr>
        <w:t xml:space="preserve">Закон України </w:t>
      </w:r>
      <w:r>
        <w:rPr>
          <w:sz w:val="28"/>
          <w:szCs w:val="28"/>
        </w:rPr>
        <w:t>“Про дошкільну освіту“</w:t>
      </w:r>
      <w:r>
        <w:rPr>
          <w:color w:val="FF0000"/>
          <w:sz w:val="28"/>
          <w:szCs w:val="28"/>
        </w:rPr>
        <w:t xml:space="preserve"> </w:t>
      </w:r>
      <w:r>
        <w:rPr>
          <w:rFonts w:ascii="Times New Roman CYR" w:hAnsi="Times New Roman CYR" w:cs="Times New Roman CYR"/>
          <w:sz w:val="28"/>
          <w:szCs w:val="28"/>
        </w:rPr>
        <w:t xml:space="preserve">визначили нагальну потребу перебудови роботи усієї системи вітчизняного дошкільного виховання. У цьому руслі, звісно, актуальним є питання всебічного розвитку дошкільників, адже дошкільний заклад </w:t>
      </w:r>
      <w:r>
        <w:rPr>
          <w:sz w:val="28"/>
          <w:szCs w:val="28"/>
        </w:rPr>
        <w:t>– це</w:t>
      </w:r>
      <w:r>
        <w:rPr>
          <w:rFonts w:ascii="Times New Roman CYR" w:hAnsi="Times New Roman CYR" w:cs="Times New Roman CYR"/>
          <w:sz w:val="28"/>
          <w:szCs w:val="28"/>
        </w:rPr>
        <w:t xml:space="preserve"> перша ланка, де згідно з науковою методологією дитину послідовно готують до навчально-виховного процесу у рамках школи чи іншого закладу освіти, тут вона набуває тих знань, умінь та компетенцій, які у майбутньому дадуть їй шанс успішно реалізувати свої життєві плани.</w:t>
      </w:r>
    </w:p>
    <w:p w:rsidR="001150AB" w:rsidRDefault="001150AB" w:rsidP="001150AB">
      <w:pPr>
        <w:spacing w:line="360" w:lineRule="auto"/>
        <w:ind w:firstLine="720"/>
        <w:jc w:val="both"/>
        <w:rPr>
          <w:sz w:val="28"/>
          <w:szCs w:val="28"/>
        </w:rPr>
      </w:pPr>
      <w:r>
        <w:rPr>
          <w:sz w:val="28"/>
          <w:szCs w:val="28"/>
        </w:rPr>
        <w:t>Стратегія розбудови дошкільного виховання на сучасному етапі спрямована на виконання положень</w:t>
      </w:r>
      <w:r>
        <w:rPr>
          <w:color w:val="FF0000"/>
          <w:sz w:val="28"/>
          <w:szCs w:val="28"/>
        </w:rPr>
        <w:t xml:space="preserve"> </w:t>
      </w:r>
      <w:r>
        <w:rPr>
          <w:sz w:val="28"/>
          <w:szCs w:val="28"/>
        </w:rPr>
        <w:t>концептуальних засад Базового компонента дошкільної освіти</w:t>
      </w:r>
      <w:r>
        <w:rPr>
          <w:b/>
          <w:sz w:val="28"/>
          <w:szCs w:val="28"/>
        </w:rPr>
        <w:t>,</w:t>
      </w:r>
      <w:r>
        <w:rPr>
          <w:color w:val="FF0000"/>
          <w:sz w:val="28"/>
          <w:szCs w:val="28"/>
        </w:rPr>
        <w:t xml:space="preserve"> </w:t>
      </w:r>
      <w:r>
        <w:rPr>
          <w:sz w:val="28"/>
          <w:szCs w:val="28"/>
        </w:rPr>
        <w:t xml:space="preserve">завдань Концепції дошкільного виховання в Україні та державної національної програми “Діти України“, основу яких становить забезпечення належного розвитку, вихованості та навченості дитини перших шести років життя. </w:t>
      </w:r>
    </w:p>
    <w:p w:rsidR="001150AB" w:rsidRDefault="001150AB" w:rsidP="001150AB">
      <w:pPr>
        <w:spacing w:line="360" w:lineRule="auto"/>
        <w:ind w:firstLine="720"/>
        <w:jc w:val="both"/>
        <w:rPr>
          <w:sz w:val="28"/>
          <w:szCs w:val="28"/>
        </w:rPr>
      </w:pPr>
      <w:r>
        <w:rPr>
          <w:sz w:val="28"/>
          <w:szCs w:val="28"/>
        </w:rPr>
        <w:t>Першими це завдання розв'язують працівники дошкільних закладів, створюючи умови для самореалізації особистості дитини, формуючи у неї вміння пізнавати навколишній предметний світ, себе, інших людей і практично застосовувати набуті знання. Врахування фізичного та інтелектуального потенціалу дітей, їхніх потреб та інтересів відіграє провідну роль у становленні особистості.</w:t>
      </w:r>
    </w:p>
    <w:p w:rsidR="001150AB" w:rsidRDefault="001150AB" w:rsidP="001150AB">
      <w:pPr>
        <w:widowControl w:val="0"/>
        <w:autoSpaceDE w:val="0"/>
        <w:autoSpaceDN w:val="0"/>
        <w:adjustRightInd w:val="0"/>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Класики зарубіжної та вітчизняної педагогіки, а також сучасні науковці досягли чималих успіхів в обґрунтуванні змісту, завдань та способів розвитку дитини-дошкільника засобом гри. При цьому вчені опиралися, зокрема, на багатий досвід народної педагогіки. </w:t>
      </w:r>
    </w:p>
    <w:p w:rsidR="001150AB" w:rsidRDefault="001150AB" w:rsidP="001150AB">
      <w:pPr>
        <w:widowControl w:val="0"/>
        <w:autoSpaceDE w:val="0"/>
        <w:autoSpaceDN w:val="0"/>
        <w:adjustRightInd w:val="0"/>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Проблема </w:t>
      </w:r>
      <w:r>
        <w:rPr>
          <w:sz w:val="28"/>
          <w:szCs w:val="28"/>
        </w:rPr>
        <w:t xml:space="preserve">організації ігрової діяльності у дошкільному віці </w:t>
      </w:r>
      <w:r>
        <w:rPr>
          <w:rFonts w:ascii="Times New Roman CYR" w:hAnsi="Times New Roman CYR" w:cs="Times New Roman CYR"/>
          <w:sz w:val="28"/>
          <w:szCs w:val="28"/>
        </w:rPr>
        <w:t xml:space="preserve">особливо актуальна в умовах сьогодення, оскільки за останні десятиліття вітчизняне дошкілля зазнало серйозної руйнації через економічні, політичні та соціальні проблеми. Дитина дошкільного віку сьогодні залишилася практично поза увагою державних освітніх інституцій, а також сім’ї, оскільки остання часто більше переймається проблемами набуття певного матеріального статусу, аніж вихованням </w:t>
      </w:r>
      <w:r>
        <w:rPr>
          <w:rFonts w:ascii="Times New Roman CYR" w:hAnsi="Times New Roman CYR" w:cs="Times New Roman CYR"/>
          <w:sz w:val="28"/>
          <w:szCs w:val="28"/>
        </w:rPr>
        <w:lastRenderedPageBreak/>
        <w:t xml:space="preserve">дітей. Тому не дивно, що проблема </w:t>
      </w:r>
      <w:r>
        <w:rPr>
          <w:sz w:val="28"/>
          <w:szCs w:val="28"/>
        </w:rPr>
        <w:t>організації ігрової діяльності у дошкільному віці</w:t>
      </w:r>
      <w:r>
        <w:rPr>
          <w:rFonts w:ascii="Times New Roman CYR" w:hAnsi="Times New Roman CYR" w:cs="Times New Roman CYR"/>
          <w:sz w:val="28"/>
          <w:szCs w:val="28"/>
        </w:rPr>
        <w:t xml:space="preserve"> займає чільне місце у науково-методичному доробку та педагогічних дослідженнях.</w:t>
      </w:r>
    </w:p>
    <w:p w:rsidR="001150AB" w:rsidRDefault="001150AB" w:rsidP="001150AB">
      <w:pPr>
        <w:shd w:val="clear" w:color="auto" w:fill="FFFFFF"/>
        <w:spacing w:line="360" w:lineRule="auto"/>
        <w:ind w:firstLine="709"/>
        <w:jc w:val="both"/>
        <w:rPr>
          <w:sz w:val="28"/>
          <w:szCs w:val="28"/>
        </w:rPr>
      </w:pPr>
      <w:r>
        <w:rPr>
          <w:sz w:val="28"/>
          <w:szCs w:val="28"/>
        </w:rPr>
        <w:t xml:space="preserve">У посібнику окрім програми курсу, планів практичних занять, завдань для самостійної роботи студентів, списку літератури, що рекомендується до курсу ми пропонуємо різноманітні ігри та завдання для розвитку дітей дошкільного віку. Батьки чи вихователі можуть продіагностувати рівень інтелекту у дітей, а також скласти власне уявлення про те, який обсяг знань, умінь і навичок повинна мати дитина у дошкільному віці. </w:t>
      </w:r>
    </w:p>
    <w:p w:rsidR="00BA1CB4" w:rsidRDefault="001150AB" w:rsidP="001150AB">
      <w:pPr>
        <w:shd w:val="clear" w:color="auto" w:fill="FFFFFF"/>
        <w:spacing w:line="360" w:lineRule="auto"/>
        <w:ind w:firstLine="709"/>
        <w:jc w:val="both"/>
      </w:pPr>
      <w:r>
        <w:rPr>
          <w:sz w:val="28"/>
          <w:szCs w:val="28"/>
        </w:rPr>
        <w:t>Особливо наголошуємо, що розвиток дитини дошкільного віку має</w:t>
      </w:r>
      <w:r>
        <w:rPr>
          <w:color w:val="FF0000"/>
          <w:sz w:val="28"/>
          <w:szCs w:val="28"/>
        </w:rPr>
        <w:t xml:space="preserve"> </w:t>
      </w:r>
      <w:r>
        <w:rPr>
          <w:sz w:val="28"/>
          <w:szCs w:val="28"/>
        </w:rPr>
        <w:t>здійснюватися в атмосфері свободи, гри, позитивного психологічного клімату, доброзичливості природо- і культуровідповідності. Дорослі повинні розглядати дитину як суб’єкта певної діяльності і з розумінням ставитися до дитячих бажань, прагнень, дій та вчинків. Пріоритетним залишається положення про те, що дитинство це не підготовка до майбутнього дорослого життя, а справжнє життя.</w:t>
      </w:r>
      <w:bookmarkStart w:id="0" w:name="_GoBack"/>
      <w:bookmarkEnd w:id="0"/>
    </w:p>
    <w:sectPr w:rsidR="00BA1CB4">
      <w:pgSz w:w="12240" w:h="15840"/>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100"/>
    <w:rsid w:val="001150AB"/>
    <w:rsid w:val="006E11C1"/>
    <w:rsid w:val="00816100"/>
    <w:rsid w:val="00B93ED2"/>
    <w:rsid w:val="00BA1CB4"/>
    <w:rsid w:val="00F24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572035-346F-4DAE-A926-44664E324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0AB"/>
    <w:pPr>
      <w:spacing w:after="0" w:line="240" w:lineRule="auto"/>
    </w:pPr>
    <w:rPr>
      <w:rFonts w:ascii="Times New Roman" w:eastAsia="Times New Roman" w:hAnsi="Times New Roman" w:cs="Times New Roman"/>
      <w:noProof/>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150AB"/>
    <w:pPr>
      <w:spacing w:line="360" w:lineRule="auto"/>
      <w:jc w:val="center"/>
    </w:pPr>
    <w:rPr>
      <w:b/>
      <w:bCs/>
      <w:noProof w:val="0"/>
      <w:sz w:val="28"/>
    </w:rPr>
  </w:style>
  <w:style w:type="character" w:customStyle="1" w:styleId="a4">
    <w:name w:val="Заголовок Знак"/>
    <w:basedOn w:val="a0"/>
    <w:link w:val="a3"/>
    <w:rsid w:val="001150AB"/>
    <w:rPr>
      <w:rFonts w:ascii="Times New Roman" w:eastAsia="Times New Roman" w:hAnsi="Times New Roman" w:cs="Times New Roman"/>
      <w:b/>
      <w:bCs/>
      <w:sz w:val="28"/>
      <w:szCs w:val="24"/>
      <w:lang w:val="uk-UA" w:eastAsia="ru-RU"/>
    </w:rPr>
  </w:style>
  <w:style w:type="paragraph" w:styleId="2">
    <w:name w:val="Body Text Indent 2"/>
    <w:basedOn w:val="a"/>
    <w:link w:val="20"/>
    <w:semiHidden/>
    <w:unhideWhenUsed/>
    <w:rsid w:val="001150AB"/>
    <w:pPr>
      <w:spacing w:line="360" w:lineRule="auto"/>
      <w:ind w:firstLine="708"/>
      <w:jc w:val="both"/>
    </w:pPr>
    <w:rPr>
      <w:noProof w:val="0"/>
      <w:sz w:val="28"/>
    </w:rPr>
  </w:style>
  <w:style w:type="character" w:customStyle="1" w:styleId="20">
    <w:name w:val="Основной текст с отступом 2 Знак"/>
    <w:basedOn w:val="a0"/>
    <w:link w:val="2"/>
    <w:semiHidden/>
    <w:rsid w:val="001150AB"/>
    <w:rPr>
      <w:rFonts w:ascii="Times New Roman" w:eastAsia="Times New Roman" w:hAnsi="Times New Roman" w:cs="Times New Roman"/>
      <w:sz w:val="28"/>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626</Words>
  <Characters>3573</Characters>
  <Application>Microsoft Office Word</Application>
  <DocSecurity>0</DocSecurity>
  <Lines>29</Lines>
  <Paragraphs>8</Paragraphs>
  <ScaleCrop>false</ScaleCrop>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2020-02-21T10:15:00Z</dcterms:created>
  <dcterms:modified xsi:type="dcterms:W3CDTF">2020-02-21T10:16:00Z</dcterms:modified>
</cp:coreProperties>
</file>